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050"/>
        <w:gridCol w:w="3600"/>
        <w:gridCol w:w="1050"/>
        <w:gridCol w:w="26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632" w:type="pct"/>
            <w:tcBorders>
              <w:top w:val="nil"/>
              <w:left w:val="nil"/>
              <w:bottom w:val="dashed" w:color="A4A4A4" w:sz="6" w:space="0"/>
              <w:right w:val="nil"/>
            </w:tcBorders>
            <w:shd w:val="clear" w:color="auto" w:fill="FFFFFF"/>
            <w:tcMar>
              <w:top w:w="180" w:type="dxa"/>
              <w:bottom w:w="180" w:type="dxa"/>
            </w:tcM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i w:val="0"/>
                <w:caps w:val="0"/>
                <w:color w:val="545454"/>
                <w:spacing w:val="0"/>
                <w:sz w:val="21"/>
                <w:szCs w:val="21"/>
              </w:rPr>
            </w:pPr>
            <w:r>
              <w:rPr>
                <w:rFonts w:hint="eastAsia" w:ascii="宋体" w:hAnsi="宋体" w:eastAsia="宋体" w:cs="宋体"/>
                <w:i w:val="0"/>
                <w:caps w:val="0"/>
                <w:color w:val="545454"/>
                <w:spacing w:val="0"/>
                <w:kern w:val="0"/>
                <w:sz w:val="21"/>
                <w:szCs w:val="21"/>
                <w:bdr w:val="none" w:color="auto" w:sz="0" w:space="0"/>
                <w:lang w:val="en-US" w:eastAsia="zh-CN" w:bidi="ar"/>
              </w:rPr>
              <w:t>标  题：</w:t>
            </w:r>
          </w:p>
        </w:tc>
        <w:tc>
          <w:tcPr>
            <w:tcW w:w="2167" w:type="pct"/>
            <w:tcBorders>
              <w:top w:val="nil"/>
              <w:left w:val="nil"/>
              <w:bottom w:val="dashed" w:color="A4A4A4" w:sz="6" w:space="0"/>
              <w:right w:val="nil"/>
            </w:tcBorders>
            <w:shd w:val="clear" w:color="auto" w:fill="FFFFFF"/>
            <w:tcMar>
              <w:top w:w="180" w:type="dxa"/>
              <w:bottom w:w="180" w:type="dxa"/>
            </w:tcM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i w:val="0"/>
                <w:caps w:val="0"/>
                <w:color w:val="545454"/>
                <w:spacing w:val="0"/>
                <w:sz w:val="21"/>
                <w:szCs w:val="21"/>
              </w:rPr>
            </w:pPr>
            <w:r>
              <w:rPr>
                <w:rFonts w:hint="eastAsia" w:ascii="宋体" w:hAnsi="宋体" w:eastAsia="宋体" w:cs="宋体"/>
                <w:i w:val="0"/>
                <w:caps w:val="0"/>
                <w:color w:val="545454"/>
                <w:spacing w:val="0"/>
                <w:kern w:val="0"/>
                <w:sz w:val="21"/>
                <w:szCs w:val="21"/>
                <w:bdr w:val="none" w:color="auto" w:sz="0" w:space="0"/>
                <w:lang w:val="en-US" w:eastAsia="zh-CN" w:bidi="ar"/>
              </w:rPr>
              <w:t>规范促销行为暂行规定</w:t>
            </w:r>
          </w:p>
        </w:tc>
        <w:tc>
          <w:tcPr>
            <w:tcW w:w="632" w:type="pct"/>
            <w:tcBorders>
              <w:top w:val="nil"/>
              <w:left w:val="nil"/>
              <w:bottom w:val="dashed" w:color="A4A4A4" w:sz="6" w:space="0"/>
              <w:right w:val="nil"/>
            </w:tcBorders>
            <w:shd w:val="clear" w:color="auto" w:fill="FFFFFF"/>
            <w:tcMar>
              <w:top w:w="180" w:type="dxa"/>
              <w:bottom w:w="180" w:type="dxa"/>
            </w:tcM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i w:val="0"/>
                <w:caps w:val="0"/>
                <w:color w:val="545454"/>
                <w:spacing w:val="0"/>
                <w:sz w:val="21"/>
                <w:szCs w:val="21"/>
              </w:rPr>
            </w:pPr>
            <w:r>
              <w:rPr>
                <w:rFonts w:hint="eastAsia" w:ascii="宋体" w:hAnsi="宋体" w:eastAsia="宋体" w:cs="宋体"/>
                <w:i w:val="0"/>
                <w:caps w:val="0"/>
                <w:color w:val="545454"/>
                <w:spacing w:val="0"/>
                <w:kern w:val="0"/>
                <w:sz w:val="21"/>
                <w:szCs w:val="21"/>
                <w:bdr w:val="none" w:color="auto" w:sz="0" w:space="0"/>
                <w:lang w:val="en-US" w:eastAsia="zh-CN" w:bidi="ar"/>
              </w:rPr>
              <w:t>发文机关：</w:t>
            </w:r>
          </w:p>
        </w:tc>
        <w:tc>
          <w:tcPr>
            <w:tcW w:w="1567" w:type="pct"/>
            <w:tcBorders>
              <w:top w:val="nil"/>
              <w:left w:val="nil"/>
              <w:bottom w:val="dashed" w:color="A4A4A4" w:sz="6" w:space="0"/>
              <w:right w:val="nil"/>
            </w:tcBorders>
            <w:shd w:val="clear" w:color="auto" w:fill="FFFFFF"/>
            <w:tcMar>
              <w:top w:w="180" w:type="dxa"/>
              <w:bottom w:w="180" w:type="dxa"/>
            </w:tcM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i w:val="0"/>
                <w:caps w:val="0"/>
                <w:color w:val="545454"/>
                <w:spacing w:val="0"/>
                <w:sz w:val="21"/>
                <w:szCs w:val="21"/>
              </w:rPr>
            </w:pPr>
            <w:r>
              <w:rPr>
                <w:rFonts w:hint="eastAsia" w:ascii="宋体" w:hAnsi="宋体" w:eastAsia="宋体" w:cs="宋体"/>
                <w:i w:val="0"/>
                <w:caps w:val="0"/>
                <w:color w:val="545454"/>
                <w:spacing w:val="0"/>
                <w:kern w:val="0"/>
                <w:sz w:val="21"/>
                <w:szCs w:val="21"/>
                <w:bdr w:val="none" w:color="auto" w:sz="0" w:space="0"/>
                <w:lang w:val="en-US" w:eastAsia="zh-CN" w:bidi="ar"/>
              </w:rPr>
              <w:t>市场监管总局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2" w:type="pct"/>
            <w:tcBorders>
              <w:top w:val="nil"/>
              <w:left w:val="nil"/>
              <w:bottom w:val="dashed" w:color="A4A4A4" w:sz="6" w:space="0"/>
              <w:right w:val="nil"/>
            </w:tcBorders>
            <w:shd w:val="clear" w:color="auto" w:fill="FFFFFF"/>
            <w:tcMar>
              <w:top w:w="180" w:type="dxa"/>
              <w:bottom w:w="180" w:type="dxa"/>
            </w:tcM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i w:val="0"/>
                <w:caps w:val="0"/>
                <w:color w:val="545454"/>
                <w:spacing w:val="0"/>
                <w:sz w:val="21"/>
                <w:szCs w:val="21"/>
              </w:rPr>
            </w:pPr>
            <w:r>
              <w:rPr>
                <w:rFonts w:hint="eastAsia" w:ascii="宋体" w:hAnsi="宋体" w:eastAsia="宋体" w:cs="宋体"/>
                <w:i w:val="0"/>
                <w:caps w:val="0"/>
                <w:color w:val="545454"/>
                <w:spacing w:val="0"/>
                <w:kern w:val="0"/>
                <w:sz w:val="21"/>
                <w:szCs w:val="21"/>
                <w:bdr w:val="none" w:color="auto" w:sz="0" w:space="0"/>
                <w:lang w:val="en-US" w:eastAsia="zh-CN" w:bidi="ar"/>
              </w:rPr>
              <w:t>发文字号：</w:t>
            </w:r>
          </w:p>
        </w:tc>
        <w:tc>
          <w:tcPr>
            <w:tcW w:w="2167" w:type="pct"/>
            <w:tcBorders>
              <w:top w:val="nil"/>
              <w:left w:val="nil"/>
              <w:bottom w:val="dashed" w:color="A4A4A4" w:sz="6" w:space="0"/>
              <w:right w:val="nil"/>
            </w:tcBorders>
            <w:shd w:val="clear" w:color="auto" w:fill="FFFFFF"/>
            <w:tcMar>
              <w:top w:w="180" w:type="dxa"/>
              <w:bottom w:w="180" w:type="dxa"/>
            </w:tcM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i w:val="0"/>
                <w:caps w:val="0"/>
                <w:color w:val="545454"/>
                <w:spacing w:val="0"/>
                <w:sz w:val="21"/>
                <w:szCs w:val="21"/>
              </w:rPr>
            </w:pPr>
            <w:r>
              <w:rPr>
                <w:rFonts w:hint="eastAsia" w:ascii="宋体" w:hAnsi="宋体" w:eastAsia="宋体" w:cs="宋体"/>
                <w:i w:val="0"/>
                <w:caps w:val="0"/>
                <w:color w:val="545454"/>
                <w:spacing w:val="0"/>
                <w:kern w:val="0"/>
                <w:sz w:val="21"/>
                <w:szCs w:val="21"/>
                <w:bdr w:val="none" w:color="auto" w:sz="0" w:space="0"/>
                <w:lang w:val="en-US" w:eastAsia="zh-CN" w:bidi="ar"/>
              </w:rPr>
              <w:t>国家市场监督管理总局令第32号</w:t>
            </w:r>
          </w:p>
        </w:tc>
        <w:tc>
          <w:tcPr>
            <w:tcW w:w="632" w:type="pct"/>
            <w:tcBorders>
              <w:top w:val="nil"/>
              <w:left w:val="nil"/>
              <w:bottom w:val="dashed" w:color="A4A4A4" w:sz="6" w:space="0"/>
              <w:right w:val="nil"/>
            </w:tcBorders>
            <w:shd w:val="clear" w:color="auto" w:fill="FFFFFF"/>
            <w:tcMar>
              <w:top w:w="180" w:type="dxa"/>
              <w:bottom w:w="180" w:type="dxa"/>
            </w:tcM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i w:val="0"/>
                <w:caps w:val="0"/>
                <w:color w:val="545454"/>
                <w:spacing w:val="0"/>
                <w:sz w:val="21"/>
                <w:szCs w:val="21"/>
              </w:rPr>
            </w:pPr>
            <w:r>
              <w:rPr>
                <w:rFonts w:hint="eastAsia" w:ascii="宋体" w:hAnsi="宋体" w:eastAsia="宋体" w:cs="宋体"/>
                <w:i w:val="0"/>
                <w:caps w:val="0"/>
                <w:color w:val="545454"/>
                <w:spacing w:val="0"/>
                <w:kern w:val="0"/>
                <w:sz w:val="21"/>
                <w:szCs w:val="21"/>
                <w:bdr w:val="none" w:color="auto" w:sz="0" w:space="0"/>
                <w:lang w:val="en-US" w:eastAsia="zh-CN" w:bidi="ar"/>
              </w:rPr>
              <w:t>来  源：</w:t>
            </w:r>
          </w:p>
        </w:tc>
        <w:tc>
          <w:tcPr>
            <w:tcW w:w="1567" w:type="pct"/>
            <w:tcBorders>
              <w:top w:val="nil"/>
              <w:left w:val="nil"/>
              <w:bottom w:val="dashed" w:color="A4A4A4" w:sz="6" w:space="0"/>
              <w:right w:val="nil"/>
            </w:tcBorders>
            <w:shd w:val="clear" w:color="auto" w:fill="FFFFFF"/>
            <w:tcMar>
              <w:top w:w="180" w:type="dxa"/>
              <w:bottom w:w="180" w:type="dxa"/>
            </w:tcM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i w:val="0"/>
                <w:caps w:val="0"/>
                <w:color w:val="545454"/>
                <w:spacing w:val="0"/>
                <w:sz w:val="21"/>
                <w:szCs w:val="21"/>
              </w:rPr>
            </w:pPr>
            <w:r>
              <w:rPr>
                <w:rFonts w:hint="eastAsia" w:ascii="宋体" w:hAnsi="宋体" w:eastAsia="宋体" w:cs="宋体"/>
                <w:i w:val="0"/>
                <w:caps w:val="0"/>
                <w:color w:val="545454"/>
                <w:spacing w:val="0"/>
                <w:kern w:val="0"/>
                <w:sz w:val="21"/>
                <w:szCs w:val="21"/>
                <w:bdr w:val="none" w:color="auto" w:sz="0" w:space="0"/>
                <w:lang w:val="en-US" w:eastAsia="zh-CN" w:bidi="ar"/>
              </w:rPr>
              <w:t>市场监管总局网站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2" w:type="pct"/>
            <w:tcBorders>
              <w:top w:val="nil"/>
              <w:left w:val="nil"/>
              <w:bottom w:val="dashed" w:color="A4A4A4" w:sz="6" w:space="0"/>
              <w:right w:val="nil"/>
            </w:tcBorders>
            <w:shd w:val="clear" w:color="auto" w:fill="FFFFFF"/>
            <w:tcMar>
              <w:top w:w="180" w:type="dxa"/>
              <w:bottom w:w="180" w:type="dxa"/>
            </w:tcM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i w:val="0"/>
                <w:caps w:val="0"/>
                <w:color w:val="545454"/>
                <w:spacing w:val="0"/>
                <w:sz w:val="21"/>
                <w:szCs w:val="21"/>
              </w:rPr>
            </w:pPr>
            <w:r>
              <w:rPr>
                <w:rFonts w:hint="eastAsia" w:ascii="宋体" w:hAnsi="宋体" w:eastAsia="宋体" w:cs="宋体"/>
                <w:i w:val="0"/>
                <w:caps w:val="0"/>
                <w:color w:val="545454"/>
                <w:spacing w:val="0"/>
                <w:kern w:val="0"/>
                <w:sz w:val="21"/>
                <w:szCs w:val="21"/>
                <w:bdr w:val="none" w:color="auto" w:sz="0" w:space="0"/>
                <w:lang w:val="en-US" w:eastAsia="zh-CN" w:bidi="ar"/>
              </w:rPr>
              <w:t>主题分类：</w:t>
            </w:r>
          </w:p>
        </w:tc>
        <w:tc>
          <w:tcPr>
            <w:tcW w:w="2167" w:type="pct"/>
            <w:tcBorders>
              <w:top w:val="nil"/>
              <w:left w:val="nil"/>
              <w:bottom w:val="dashed" w:color="A4A4A4" w:sz="6" w:space="0"/>
              <w:right w:val="nil"/>
            </w:tcBorders>
            <w:shd w:val="clear" w:color="auto" w:fill="FFFFFF"/>
            <w:tcMar>
              <w:top w:w="180" w:type="dxa"/>
              <w:bottom w:w="180" w:type="dxa"/>
            </w:tcM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i w:val="0"/>
                <w:caps w:val="0"/>
                <w:color w:val="545454"/>
                <w:spacing w:val="0"/>
                <w:sz w:val="21"/>
                <w:szCs w:val="21"/>
              </w:rPr>
            </w:pPr>
            <w:r>
              <w:rPr>
                <w:rFonts w:hint="eastAsia" w:ascii="宋体" w:hAnsi="宋体" w:eastAsia="宋体" w:cs="宋体"/>
                <w:i w:val="0"/>
                <w:caps w:val="0"/>
                <w:color w:val="545454"/>
                <w:spacing w:val="0"/>
                <w:kern w:val="0"/>
                <w:sz w:val="21"/>
                <w:szCs w:val="21"/>
                <w:bdr w:val="none" w:color="auto" w:sz="0" w:space="0"/>
                <w:lang w:val="en-US" w:eastAsia="zh-CN" w:bidi="ar"/>
              </w:rPr>
              <w:t>市场监管、安全生产监管\其他</w:t>
            </w:r>
          </w:p>
        </w:tc>
        <w:tc>
          <w:tcPr>
            <w:tcW w:w="632" w:type="pct"/>
            <w:tcBorders>
              <w:top w:val="nil"/>
              <w:left w:val="nil"/>
              <w:bottom w:val="dashed" w:color="A4A4A4" w:sz="6" w:space="0"/>
              <w:right w:val="nil"/>
            </w:tcBorders>
            <w:shd w:val="clear" w:color="auto" w:fill="FFFFFF"/>
            <w:tcMar>
              <w:top w:w="180" w:type="dxa"/>
              <w:bottom w:w="180" w:type="dxa"/>
            </w:tcM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i w:val="0"/>
                <w:caps w:val="0"/>
                <w:color w:val="545454"/>
                <w:spacing w:val="0"/>
                <w:sz w:val="21"/>
                <w:szCs w:val="21"/>
              </w:rPr>
            </w:pPr>
            <w:r>
              <w:rPr>
                <w:rFonts w:hint="eastAsia" w:ascii="宋体" w:hAnsi="宋体" w:eastAsia="宋体" w:cs="宋体"/>
                <w:i w:val="0"/>
                <w:caps w:val="0"/>
                <w:color w:val="545454"/>
                <w:spacing w:val="0"/>
                <w:kern w:val="0"/>
                <w:sz w:val="21"/>
                <w:szCs w:val="21"/>
                <w:bdr w:val="none" w:color="auto" w:sz="0" w:space="0"/>
                <w:lang w:val="en-US" w:eastAsia="zh-CN" w:bidi="ar"/>
              </w:rPr>
              <w:t>公文种类：</w:t>
            </w:r>
          </w:p>
        </w:tc>
        <w:tc>
          <w:tcPr>
            <w:tcW w:w="1567" w:type="pct"/>
            <w:tcBorders>
              <w:top w:val="nil"/>
              <w:left w:val="nil"/>
              <w:bottom w:val="dashed" w:color="A4A4A4" w:sz="6" w:space="0"/>
              <w:right w:val="nil"/>
            </w:tcBorders>
            <w:shd w:val="clear" w:color="auto" w:fill="FFFFFF"/>
            <w:tcMar>
              <w:top w:w="180" w:type="dxa"/>
              <w:bottom w:w="180" w:type="dxa"/>
            </w:tcM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i w:val="0"/>
                <w:caps w:val="0"/>
                <w:color w:val="545454"/>
                <w:spacing w:val="0"/>
                <w:sz w:val="21"/>
                <w:szCs w:val="21"/>
              </w:rPr>
            </w:pPr>
            <w:r>
              <w:rPr>
                <w:rFonts w:hint="eastAsia" w:ascii="宋体" w:hAnsi="宋体" w:eastAsia="宋体" w:cs="宋体"/>
                <w:i w:val="0"/>
                <w:caps w:val="0"/>
                <w:color w:val="545454"/>
                <w:spacing w:val="0"/>
                <w:kern w:val="0"/>
                <w:sz w:val="21"/>
                <w:szCs w:val="21"/>
                <w:bdr w:val="none" w:color="auto" w:sz="0" w:space="0"/>
                <w:lang w:val="en-US" w:eastAsia="zh-CN" w:bidi="ar"/>
              </w:rPr>
              <w:t>命令（令）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2" w:type="pct"/>
            <w:tcBorders>
              <w:top w:val="nil"/>
              <w:left w:val="nil"/>
              <w:bottom w:val="nil"/>
              <w:right w:val="nil"/>
            </w:tcBorders>
            <w:shd w:val="clear" w:color="auto" w:fill="FFFFFF"/>
            <w:tcMar>
              <w:top w:w="180" w:type="dxa"/>
              <w:bottom w:w="180" w:type="dxa"/>
            </w:tcM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i w:val="0"/>
                <w:caps w:val="0"/>
                <w:color w:val="545454"/>
                <w:spacing w:val="0"/>
                <w:sz w:val="21"/>
                <w:szCs w:val="21"/>
              </w:rPr>
            </w:pPr>
            <w:r>
              <w:rPr>
                <w:rFonts w:hint="eastAsia" w:ascii="宋体" w:hAnsi="宋体" w:eastAsia="宋体" w:cs="宋体"/>
                <w:i w:val="0"/>
                <w:caps w:val="0"/>
                <w:color w:val="545454"/>
                <w:spacing w:val="0"/>
                <w:kern w:val="0"/>
                <w:sz w:val="21"/>
                <w:szCs w:val="21"/>
                <w:bdr w:val="none" w:color="auto" w:sz="0" w:space="0"/>
                <w:lang w:val="en-US" w:eastAsia="zh-CN" w:bidi="ar"/>
              </w:rPr>
              <w:t>成文日期：</w:t>
            </w:r>
          </w:p>
        </w:tc>
        <w:tc>
          <w:tcPr>
            <w:tcW w:w="2167" w:type="pct"/>
            <w:tcBorders>
              <w:top w:val="nil"/>
              <w:left w:val="nil"/>
              <w:bottom w:val="nil"/>
              <w:right w:val="nil"/>
            </w:tcBorders>
            <w:shd w:val="clear" w:color="auto" w:fill="FFFFFF"/>
            <w:tcMar>
              <w:top w:w="180" w:type="dxa"/>
              <w:bottom w:w="180" w:type="dxa"/>
            </w:tcM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i w:val="0"/>
                <w:caps w:val="0"/>
                <w:color w:val="545454"/>
                <w:spacing w:val="0"/>
                <w:sz w:val="21"/>
                <w:szCs w:val="21"/>
              </w:rPr>
            </w:pPr>
            <w:r>
              <w:rPr>
                <w:rFonts w:hint="eastAsia" w:ascii="宋体" w:hAnsi="宋体" w:eastAsia="宋体" w:cs="宋体"/>
                <w:i w:val="0"/>
                <w:caps w:val="0"/>
                <w:color w:val="545454"/>
                <w:spacing w:val="0"/>
                <w:kern w:val="0"/>
                <w:sz w:val="21"/>
                <w:szCs w:val="21"/>
                <w:bdr w:val="none" w:color="auto" w:sz="0" w:space="0"/>
                <w:lang w:val="en-US" w:eastAsia="zh-CN" w:bidi="ar"/>
              </w:rPr>
              <w:t>2020年10月29日</w:t>
            </w:r>
          </w:p>
        </w:tc>
        <w:tc>
          <w:tcPr>
            <w:tcW w:w="632" w:type="pct"/>
            <w:tcBorders>
              <w:top w:val="nil"/>
              <w:left w:val="nil"/>
              <w:bottom w:val="nil"/>
              <w:right w:val="nil"/>
            </w:tcBorders>
            <w:shd w:val="clear" w:color="auto" w:fill="FFFFFF"/>
            <w:tcMar>
              <w:top w:w="180" w:type="dxa"/>
              <w:bottom w:w="180" w:type="dxa"/>
            </w:tcM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i w:val="0"/>
                <w:caps w:val="0"/>
                <w:color w:val="545454"/>
                <w:spacing w:val="0"/>
                <w:sz w:val="21"/>
                <w:szCs w:val="21"/>
              </w:rPr>
            </w:pPr>
            <w:r>
              <w:rPr>
                <w:rFonts w:hint="eastAsia" w:ascii="宋体" w:hAnsi="宋体" w:eastAsia="宋体" w:cs="宋体"/>
                <w:i w:val="0"/>
                <w:caps w:val="0"/>
                <w:color w:val="545454"/>
                <w:spacing w:val="0"/>
                <w:kern w:val="0"/>
                <w:sz w:val="21"/>
                <w:szCs w:val="21"/>
                <w:bdr w:val="none" w:color="auto" w:sz="0" w:space="0"/>
                <w:lang w:val="en-US" w:eastAsia="zh-CN" w:bidi="ar"/>
              </w:rPr>
              <w:t>发布日期：</w:t>
            </w:r>
          </w:p>
        </w:tc>
        <w:tc>
          <w:tcPr>
            <w:tcW w:w="1567" w:type="pct"/>
            <w:tcBorders>
              <w:top w:val="nil"/>
              <w:left w:val="nil"/>
              <w:bottom w:val="nil"/>
              <w:right w:val="nil"/>
            </w:tcBorders>
            <w:shd w:val="clear" w:color="auto" w:fill="FFFFFF"/>
            <w:tcMar>
              <w:top w:w="180" w:type="dxa"/>
              <w:bottom w:w="180" w:type="dxa"/>
            </w:tcMar>
            <w:vAlign w:val="center"/>
          </w:tcPr>
          <w:p>
            <w:pPr>
              <w:keepNext w:val="0"/>
              <w:keepLines w:val="0"/>
              <w:widowControl/>
              <w:suppressLineNumbers w:val="0"/>
              <w:spacing w:before="0" w:beforeAutospacing="0" w:after="0" w:afterAutospacing="0" w:line="360" w:lineRule="atLeast"/>
              <w:ind w:left="0" w:right="0" w:firstLine="0"/>
              <w:jc w:val="left"/>
              <w:rPr>
                <w:rFonts w:hint="eastAsia" w:ascii="宋体" w:hAnsi="宋体" w:eastAsia="宋体" w:cs="宋体"/>
                <w:i w:val="0"/>
                <w:caps w:val="0"/>
                <w:color w:val="545454"/>
                <w:spacing w:val="0"/>
                <w:sz w:val="21"/>
                <w:szCs w:val="21"/>
              </w:rPr>
            </w:pPr>
            <w:r>
              <w:rPr>
                <w:rFonts w:hint="eastAsia" w:ascii="宋体" w:hAnsi="宋体" w:eastAsia="宋体" w:cs="宋体"/>
                <w:i w:val="0"/>
                <w:caps w:val="0"/>
                <w:color w:val="545454"/>
                <w:spacing w:val="0"/>
                <w:kern w:val="0"/>
                <w:sz w:val="21"/>
                <w:szCs w:val="21"/>
                <w:bdr w:val="none" w:color="auto" w:sz="0" w:space="0"/>
                <w:lang w:val="en-US" w:eastAsia="zh-CN" w:bidi="ar"/>
              </w:rPr>
              <w:t>2020年</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宋体" w:hAnsi="宋体" w:eastAsia="宋体" w:cs="宋体"/>
          <w:b/>
          <w:i w:val="0"/>
          <w:caps w:val="0"/>
          <w:color w:val="333333"/>
          <w:spacing w:val="0"/>
          <w:sz w:val="36"/>
          <w:szCs w:val="36"/>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36"/>
          <w:szCs w:val="36"/>
          <w:shd w:val="clear" w:fill="FFFFFF"/>
        </w:rPr>
        <w:t>规范促销行为暂行规定</w:t>
      </w:r>
      <w:r>
        <w:rPr>
          <w:rFonts w:hint="eastAsia" w:ascii="宋体" w:hAnsi="宋体" w:eastAsia="宋体" w:cs="宋体"/>
          <w:i w:val="0"/>
          <w:caps w:val="0"/>
          <w:color w:val="333333"/>
          <w:spacing w:val="0"/>
          <w:sz w:val="24"/>
          <w:szCs w:val="24"/>
          <w:shd w:val="clear" w:fill="FFFFFF"/>
        </w:rPr>
        <w:br w:type="textWrapping"/>
      </w:r>
      <w:r>
        <w:rPr>
          <w:rFonts w:ascii="楷体" w:hAnsi="楷体" w:eastAsia="楷体" w:cs="楷体"/>
          <w:i w:val="0"/>
          <w:caps w:val="0"/>
          <w:color w:val="333333"/>
          <w:spacing w:val="0"/>
          <w:sz w:val="24"/>
          <w:szCs w:val="24"/>
          <w:shd w:val="clear" w:fill="FFFFFF"/>
        </w:rPr>
        <w:t>（2020年10月29日</w:t>
      </w:r>
      <w:bookmarkStart w:id="0" w:name="_GoBack"/>
      <w:bookmarkEnd w:id="0"/>
      <w:r>
        <w:rPr>
          <w:rFonts w:ascii="楷体" w:hAnsi="楷体" w:eastAsia="楷体" w:cs="楷体"/>
          <w:i w:val="0"/>
          <w:caps w:val="0"/>
          <w:color w:val="333333"/>
          <w:spacing w:val="0"/>
          <w:sz w:val="24"/>
          <w:szCs w:val="24"/>
          <w:shd w:val="clear" w:fill="FFFFFF"/>
        </w:rPr>
        <w:t>国家市场监督管理总局令第32号公布）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第一条  为了规范经营者的促销行为，维护公平竞争的市场秩序，保护消费者、经营者合法权益，根据《中华人民共和国反不正当竞争法》（以下简称反不正当竞争法）、《中华人民共和国价格法》（以下简称价格法）、《中华人民共和国消费者权益保护法》（以下简称消费者权益保护法）等法律和行政法规，制定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第二条  经营者在中华人民共和国境内以销售商品、提供服务（以下所称商品包括提供服务）或者获取竞争优势为目的，通过有奖销售、价格、免费试用等方式开展促销，应当遵守本规定。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第三条  县级以上市场监督管理部门依法对经营者的促销行为进行监督检查，对违反本规定的行为实施行政处罚。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第四条  鼓励、支持和保护一切组织和个人对促销活动中的违法行为进行社会监督。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第二章  促销行为一般规范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第五条  经营者开展促销活动，应当真实准确，清晰醒目标示活动信息，不得利用虚假商业信息、虚构交易或者评价等方式作虚假或者引人误解的商业宣传，欺骗、误导消费者或者相关公众（以下简称消费者）。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第六条  经营者通过商业广告、产品说明、销售推介、实物样品或者通知、声明、店堂告示等方式作出优惠承诺的，应当履行承诺。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第七条  卖场、商场、市场、电子商务平台经营者等交易场所提供者（以下简称交易场所提供者）统一组织场所内（平台内）经营者开展促销的，应当制定相应方案，公示促销规则、促销期限以及对消费者不利的限制性条件，向场所内（平台内）经营者提示促销行为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第八条  交易场所提供者发现场所内（平台内）经营者在统一组织的促销中出现违法行为的，应当依法采取必要处置措施，保存有关信息记录，依法承担相应义务和责任，并协助市场监督管理部门查处违法行为。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第九条  经营者不得假借促销等名义，通过财物或者其他手段贿赂他人，以谋取交易机会或者竞争优势。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第十条  经营者在促销活动中提供的奖品或者赠品必须符合国家有关规定，不得以侵权或者不合格产品、国家明令淘汰并停止销售的商品等作为奖品或者赠品。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国家对禁止用于促销活动的商品有规定的，依照其规定。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第三章  有奖销售行为规范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第十一条  本规定所称有奖销售，是指经营者以销售商品或者获取竞争优势为目的，向消费者提供奖金、物品或者其他利益的行为，包括抽奖式和附赠式等有奖销售。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抽奖式有奖销售是指经营者以抽签、摇号、游戏等带有偶然性或者不确定性的方法，决定消费者是否中奖的有奖销售行为。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附赠式有奖销售是指经营者向满足一定条件的消费者提供奖金、物品或者其他利益的有奖销售行为。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经政府或者政府有关部门依法批准的有奖募捐及其他彩票发售活动，不适用本规定。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第十二条  经营者为了推广移动客户端、招揽客户、提高知名度、获取流量、提高点击率等，附带性地提供物品、奖金或者其他利益的行为，属于本规定所称的有奖销售。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第十三条  经营者在有奖销售前，应当明确公布奖项种类、参与条件、参与方式、开奖时间、开奖方式、奖金金额或者奖品价格、奖品品名、奖品种类、奖品数量或者中奖概率、兑奖时间、兑奖条件、兑奖方式、奖品交付方式、弃奖条件、主办方及其联系方式等信息，不得变更，不得附加条件，不得影响兑奖，但有利于消费者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在现场即时开奖的有奖销售活动中，对超过五百元奖项的兑奖情况，应当随时公示。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第十四条  奖品为积分、礼券、兑换券、代金券等形式的，应当公布兑换规则、使用范围、有效期限以及其他限制性条件等详细内容；需要向其他经营者兑换的，应当公布其他经营者的名称、兑换地点或者兑换途径。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第十五条  经营者进行有奖销售，不得采用以下谎称有奖的方式：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（一）虚构奖项、奖品、奖金金额等；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（二）仅在活动范围中的特定区域投放奖品；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（三）在活动期间将带有中奖标志的商品、奖券不投放、未全部投放市场；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（四）将带有不同奖金金额或者奖品标志的商品、奖券按不同时间投放市场；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（五）未按照向消费者明示的信息兑奖；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（六）其他谎称有奖的方式。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第十六条  经营者进行有奖销售，不得采用让内部员工、指定单位或者个人中奖等故意让内定人员中奖的欺骗方式。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第十七条  抽奖式有奖销售最高奖的金额不得超过五万元。有下列情形之一的，认定为最高奖的金额超过五万元：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（一）最高奖设置多个中奖者的，其中任意一个中奖者的最高奖金额超过五万元；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（二）同一奖券或者购买一次商品具有两次或者两次以上获奖机会的，累计金额超过五万元；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（三）以物品使用权、服务等形式作为奖品的，该物品使用权、服务等的市场价格超过五万元；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（四）以游戏装备、账户等网络虚拟物品作为奖品的，该物品市场价格超过五万元；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（五）以降价、优惠、打折等方式作为奖品的，降价、优惠、打折等利益折算价格超过五万元；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（六）以彩票、抽奖券等作为奖品的，该彩票、抽奖券可能的最高奖金额超过五万元；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（七）以提供就业机会、聘为顾问等名义，并以给付薪金等方式设置奖励，最高奖的金额超过五万元；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（八）以其他形式进行抽奖式有奖销售，最高奖金额超过五万元。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第十八条  经营者以非现金形式的物品或者其他利益作为奖品的，按照同期市场同类商品的价格计算其金额。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第十九条  经营者应当建立档案，如实、准确、完整地记录设奖规则、公示信息、兑奖结果、获奖人员等内容，妥善保存两年并依法接受监督检查。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第四章  价格促销行为规范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第二十条  经营者开展价格促销活动有附加条件的，应当显著标明条件。经营者开展限时减价、折价等价格促销活动的，应当显著标明期限。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第二十一条  经营者折价、减价，应当标明或者通过其他方便消费者认知的方式表明折价、减价的基准。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未标明或者表明基准的，其折价、减价应当以同一经营者在同一经营场所内，在本次促销活动前七日内最低成交价格为基准。如果前七日内没有交易的，折价、减价应当以本次促销活动前最后一次交易价格为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第二十二条  经营者通过积分、礼券、兑换券、代金券等折抵价款的，应当以显著方式标明或者通过店堂告示等方式公开折价计算的具体办法。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未标明或者公开折价计算具体办法的，应当以经营者接受兑换时的标价作为折价计算基准。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第五章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第二十三条  违反本规定第五条，构成虚假宣传的，由市场监督管理部门依据反不正当竞争法第二十条的规定进行处罚。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第二十四条  违反本规定第六条、第八条、第十条，法律法规有规定的，从其规定；法律法规没有规定的，由县级以上市场监督管理部门责令改正；可处违法所得三倍以下罚款，但最高不超过三万元；没有违法所得的，可处一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第二十五条  违反本规定第七条，未公示促销规则、促销期限以及对消费者不利的限制性条件，法律法规有规定的，从其规定；法律法规没有规定的，由县级以上市场监督管理部门责令改正，可以处一万元以下罚款。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第二十六条  违反本规定第九条，构成商业贿赂的，由市场监督管理部门依据反不正当竞争法第十九条的规定进行处罚。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第二十七条  违反本规定第十三条第一款、第十四条、第十五条、第十六条、第十七条，由市场监督管理部门依据反不正当竞争法第二十二条的规定进行处罚。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第二十八条  违反本规定第十三条第二款、第十九条，由县级以上市场监督管理部门责令改正，可以处一万元以下罚款。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第二十九条  违反本规定第二十条、第二十一条、第二十二条，构成价格违法行为的，由市场监督管理部门依据价格监管法律法规进行处罚。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第三十条  市场监督管理部门作出行政处罚决定后，应当依法通过国家企业信用信息公示系统向社会公示。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第六章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第三十一条  本规定自2020年12月1日起施行。1993年12月24日原国家工商行政管理局令第19号发布的《关于禁止有奖销售活动中不正当竞争行为的若干规定》同时废止。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6F7995"/>
    <w:rsid w:val="610C6DCE"/>
    <w:rsid w:val="69F739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2020-12-01T07:11:00Z</dcterms:created>
  <dc:creator>Administrator</dc:creator>
  <cp:lastModifiedBy>阿透</cp:lastModifiedBy>
  <dcterms:modified xsi:type="dcterms:W3CDTF">2020-12-01T07:12:35Z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