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山东省房地产业协会关于参加第二期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“学习强企”新地产EMBA课程总裁班的通知</w:t>
      </w:r>
    </w:p>
    <w:p>
      <w:pPr>
        <w:spacing w:line="580" w:lineRule="exact"/>
        <w:ind w:firstLine="1400" w:firstLineChars="50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各会员单位，各市行业协会、有关单位：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房地产业协会与中国海洋大学共同发起，举办“学习强企”新地产EMBA课程总裁班，于2020年9月正式开启了第一期班。通过自愿申请的方式，省、市房协选出30余名学员参加了该班的学习，收到了良好的效果,受到高度评价。第二期“学习强企”新地产EMBA课程总裁班将于4月10日开班，经我会商请主办方，对省、市房产协会会员单位的学员，省房协将按照会员（限房地产开发企业）等级给予奖学金支持，直接冲抵学费（会长单位3万元、理事单位2万元、会员单位1万元）。省、市协会及会员单位符合报名条件人员，按照自愿原则报名参加，请于4月8日前将《第二期 “学习强企”新地产EMBA课程总裁班申请表》发到省房协电子邮箱（邮箱地址：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"mailto:sdfxmsc@163.com）。%20全省限报10"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sdfxmsc@163.com）。 全省限报10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名，按邮件接收顺序，先报先得。省房协联系人：蒋晓晨、古亦馨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0531-87087219。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附件：1、第二期 “学习强企”新地产EMBA课程总裁班招生简章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2、第二期 “学习强企”新地产EMBA课程总裁班申请表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山东省房地产业协会</w:t>
      </w:r>
    </w:p>
    <w:p>
      <w:pPr>
        <w:adjustRightInd w:val="0"/>
        <w:snapToGrid w:val="0"/>
        <w:spacing w:line="62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附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“学习强企”新地产EMBA</w:t>
      </w:r>
      <w:r>
        <w:rPr>
          <w:rFonts w:hint="eastAsia" w:ascii="黑体" w:hAnsi="黑体" w:eastAsia="黑体" w:cs="黑体"/>
          <w:sz w:val="32"/>
          <w:szCs w:val="32"/>
        </w:rPr>
        <w:t>课程总裁班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产业领袖班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招生简章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一、课程背景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【产城时代 融享未来】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中国海洋大学新地产全链融合发展高级研修班（简称：新地产EMBA课程总裁班）是全国首个以“产业融合、产融结合”为特色，以产业、金融、地产及产链企业负责人、高层管理者为培养对象的专属研修平台！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房地产业从二维“建设开发”向多维“产城”时代转变，产业资源的聚合成为产城项目设立的前提,“产城融合、产融结合”更是新兴产业快速做大做强不可替代的助推器，操盘者“产业、金融、生态、运营、社群”等认知维度的高低决定着经营的成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着“未来而来、预见成为”的办学思想,新地产EMBA课程总裁班“产业领袖班”以地产企业负责人为学员基础，邀请新兴产业、独角兽企业负责人同修同学，从“产业、产城、产融”三个层面为学员打造一个看清新方向、学习新理论、认知新科技、掌握新模式、整合新资源、提升心境界的新课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同时，通过产业、金融、科技、管理、人才以及政策等资源的聚合，为学员搭建一个资源对接、投融资、项目孵化、运营服务为一体的产业生态共生事业平台，助力产业、行业企业的成长与发展。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二、项目定位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【同心同向 同道同行】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与行业大势同向：与趋势同向，辟疆域而往！行业专家解读、产业大咖分享，让你再立前沿，弄潮新时代！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与产业精英同学：集聚产业翘楚，共襄产业、共研市场，与产业时时链接，同道同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，合作自是水到渠成！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与商界大咖同享：常设专属论坛，将整合全球产业高端资源，邀请行业精英及商界大咖跨界论道，智慧共享。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与金融资本同行：好项目、好模式+好眼光、好实力的“伯乐”相助。不必众里寻“金”千百度，全链资源一站解决。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与国家发展同心：不辱企业家使命，引领创新，坚守产业报国情怀与担当。“融”、“荣”与共，与国家同心同行，同筑中国梦。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三、学习收获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【创变当下 赋能未来】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1、提升心性，拥有管理成功和幸福的能力；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2、融合产业，跨界整合产业资源的能力；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3、洞悉趋势，引领行业风向标的能力；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4、看透本质，自如驾驭企业的能力；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5、掌握规律，一套可复制的高绩效组织运营系统；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6、同道同学，一群和合共生的同道同学；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7、专属平台，一个永远属于你的产业平台。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四、课程设置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【专业前瞻 跨界融合】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1、战略课：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战略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为必修课程，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本着“跨界融合”的原则，从“趋势解析、模式颠覆、融资创新、未来科技、产城融合、品牌塑造、组织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变革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、领导力提升”八大模块，为“领袖和未来领袖们”打造战略精品大课，通过思维和认知的突破助力事业的再成长。</w:t>
      </w:r>
    </w:p>
    <w:tbl>
      <w:tblPr>
        <w:tblStyle w:val="6"/>
        <w:tblW w:w="904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《宏观经济与产业机遇》</w:t>
            </w:r>
          </w:p>
        </w:tc>
        <w:tc>
          <w:tcPr>
            <w:tcW w:w="4529" w:type="dxa"/>
            <w:tcBorders>
              <w:right w:val="single" w:color="auto" w:sz="4" w:space="0"/>
            </w:tcBorders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《资本战略与产业金融》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宏观经济-宏观调控与政策环境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房地产与宏观经济发展趋势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房地产开发建设与市场调控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相关最新金融政策解读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资管新规下房地产投融资方略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相关最新土地政策解读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相关最新财税政策解读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国际房地产名企持续生存及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逆势扩张案例研讨  </w:t>
            </w:r>
          </w:p>
        </w:tc>
        <w:tc>
          <w:tcPr>
            <w:tcW w:w="4529" w:type="dxa"/>
            <w:tcBorders>
              <w:right w:val="single" w:color="auto" w:sz="4" w:space="0"/>
            </w:tcBorders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地产金融-股权投资与资产证券化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国内外房地产股权类投资案例分析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国内外房地产资产证券化案例分析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房地产业内合作、兼并与收购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不良资产处置与投资案例分析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房地产投资融资创新案例研讨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房地产相关资本运作与风险管控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房企跨界投资和投资与业务多元化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《独角兽之商业模式创新》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《产城融合与产业运营》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新产业、独角兽企业商业模式类型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平台模式、众筹模式、类金融模式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免费模式、众包模式、数字化模式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合伙人模式、公益模式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垂直电商模式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共享经济模式、体验式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B2B-B2C-C2C-C2B-C2F、O2O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直销模式、新零售、团购模式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连锁、特许经营、会员制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逆向拍卖模式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科技园、高新技术产业园研发孵化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创投基地、数据中心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自贸区、保税区、经济特区和开发新区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长租公寓、酒店服务式公寓、学生公寓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养老地产、疗养及大健康产业基础设施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医疗地产、文旅地产、教育地产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商业或商用综合体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联合办公、特色办公及商住两用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现代物流、迷你仓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特色小镇、田园综合体、美丽乡村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《智慧城市与产业科技》</w:t>
            </w:r>
          </w:p>
        </w:tc>
        <w:tc>
          <w:tcPr>
            <w:tcW w:w="4529" w:type="dxa"/>
            <w:shd w:val="clear" w:color="auto" w:fill="243F61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《品牌与企业文化创新》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物联网、智慧城市、智慧小区与智能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建筑、智能家居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房地产大数据、云计算与人工智能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房地产+互联网+金融+产业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房地产与区块链，O2O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可视化城市、社区与建筑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绿色环保节能技术的应用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机器人、建筑工业化与智能建造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新材料、新设备、新的设计与建造工艺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智慧城市，未来建筑展望，未来城市展望 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品牌精准定位即产品赋能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品牌战略与核心竞争力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品牌化决策、模式选择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识别界定、延伸规划、品牌管理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独特的销售主张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品牌的制度安排与文化塑造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单一品牌、多品牌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品牌文化的战略创新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经典品牌案例分享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《人才战略与组织变革》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《传统哲学与新时代企业家精神》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新商业时代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互联网思维成为最根本的商业思维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自我变革是企业持续领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先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的根本动力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新商业时代最有价值的资产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社会网络化时代如何利用外脑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组织变革进化、重构人才生态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心性提升与大商之道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阳明心学、致良知、知行合一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六项精进、爱己利他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对话与人生、当下创造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和合共生、红黑游戏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超凡入圣、出世入世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企业家境界和领导力提升</w:t>
            </w:r>
          </w:p>
        </w:tc>
      </w:tr>
    </w:tbl>
    <w:p>
      <w:pPr>
        <w:pStyle w:val="4"/>
        <w:widowControl/>
        <w:spacing w:before="156" w:beforeLines="50" w:after="156" w:afterLines="50" w:line="420" w:lineRule="exact"/>
        <w:ind w:firstLine="800" w:firstLineChars="25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2、实战课：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实战课为选修课程，立足“实战实效”的原则，整合顶级企业、项目操盘专家，通过沙盘演练、翻转课堂、现场教学等方式，为学员创造系列实战课程，提升学员的项目实操和企业管理能力。</w:t>
      </w:r>
    </w:p>
    <w:tbl>
      <w:tblPr>
        <w:tblStyle w:val="6"/>
        <w:tblW w:w="904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《房地产集团管控与大运营》  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《城市更新与存量资产改造》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房地产集团企业战略规划与战略管控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房地产集团企业经营风险管控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房地产集团企业人力资源管控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多项目管控组织层级及实施要点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房地产业核心经营逻辑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大运营管理体系构建六步法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大运营管理体系落地保障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城市更新政策背景与行业趋势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城市更新项目运营创新与设计提升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城市更新项目资产管理操盘逻辑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历史文化街区与社区更新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老厂房商业改造升级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内容创新与科技赋能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大数据与新营销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》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产品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创新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与品牌塑造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大数据营销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的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跨界生态体系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带来的思维变革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数字营销、目标营销、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直接营销、分散营销、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客户导向营销、双向互动营销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远程或全球营销、虚拟营销、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无纸化交易、客户参与式营销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全球化思维，本土化依托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让产品创新彰显优势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核心产品的运作规律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集团品牌的一体化与一致性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品牌战略的策划与实施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多层次品牌转播与整合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品牌价值管理与资本化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建造升级与新标准化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》    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社区运营与服务创新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 xml:space="preserve">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智能建造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建筑工业化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智能建造产业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装配式建筑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建造移动式、部品化、工厂化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建筑工业化、数字化、智能化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建筑产业互联网平台建设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工厂智能制造与现场智能建造流程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移动互联网技术在物业管理中的应用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 xml:space="preserve">社区商业与社区O2O                   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社群运营与商业价值挖掘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“互联网+”在物业管理领域的应用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智能物业信息平台及管理体系建设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物业企业战略转型与落地实务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物业服务品质提升实战案例分享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标杆物业多种经营模式探讨与案例分享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五星物业服务设计与客户触点的品质管控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项目管理与节点管控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》</w:t>
            </w:r>
          </w:p>
        </w:tc>
        <w:tc>
          <w:tcPr>
            <w:tcW w:w="4529" w:type="dxa"/>
            <w:shd w:val="clear" w:color="auto" w:fill="243F61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  <w:lang w:eastAsia="zh-Hans"/>
              </w:rPr>
              <w:t>成本管控与税收筹划</w:t>
            </w: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不确定项目环境下的项目管理运营与管控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公司战略与项目战略的结合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单项目管理的流程的42个过程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PMP项目管理十大管理技能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项目管理中主要干系人管理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项目管理的三维分析法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税收筹划的方法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增值税的税收筹划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所得税的税收筹划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企业财税风险防控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私募基金的税务筹划方法与技巧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企业税务风控、筹划与税务稽查应对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新政下的企业与个人税务筹划方略及技巧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新政下企业的高管避税</w:t>
            </w:r>
          </w:p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资本运作税收风险管理</w:t>
            </w:r>
          </w:p>
        </w:tc>
      </w:tr>
    </w:tbl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3、游学参访：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游学分为产业游学、跨界游学，国内游学、国际游学4种形式；参访主要针对同学企业。通过访标杆、参名盘，跨界游学、异业参访，让同学们从实践中来，到实践中去，开阔眼界、增长见识、交结朋友。</w:t>
      </w:r>
    </w:p>
    <w:tbl>
      <w:tblPr>
        <w:tblStyle w:val="6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511" w:type="dxa"/>
            <w:shd w:val="clear" w:color="auto" w:fill="243F61"/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独角兽企业参访</w:t>
            </w:r>
          </w:p>
        </w:tc>
        <w:tc>
          <w:tcPr>
            <w:tcW w:w="4529" w:type="dxa"/>
            <w:shd w:val="clear" w:color="auto" w:fill="243F61"/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标杆企业参访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今日头条、陆金所、大疆科技、快手、喜马拉雅FM、古北水镇、菜鸟网络、人人车、饿了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eastAsia="zh-Hans" w:bidi="ar"/>
              </w:rPr>
              <w:t>么</w:t>
            </w: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、优必选科技、地平线机器人、居然之家、找钢网、美菜网、蜜芽宝贝、联影医疗、天境生物、优客工场、土巴兔、商汤科技、VIPKID、汇桔网、数梦工场、比特大陆........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华为、阿里巴巴、小米、腾讯、京东、复星、茅台、海尔、顺丰、云南白药、网易、苏宁、龙湖、汇仁、碧桂园、万科、恒大........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11" w:type="dxa"/>
            <w:shd w:val="clear" w:color="auto" w:fill="243F61"/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国内产城游学</w:t>
            </w:r>
          </w:p>
        </w:tc>
        <w:tc>
          <w:tcPr>
            <w:tcW w:w="4529" w:type="dxa"/>
            <w:shd w:val="clear" w:color="auto" w:fill="243F61"/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FFFF"/>
                <w:sz w:val="32"/>
                <w:szCs w:val="32"/>
              </w:rPr>
              <w:t>国际产城游学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11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七一城市森林花园（第四代住宅）、华侨城成都康养产业综合体、田园东方、袁家村、蓝城农业、古北水镇、莫干山度假区、无锡拈花小镇、泰康之家、乌镇雅园、台湾诚品书店、北戴河阿那亚...</w:t>
            </w:r>
          </w:p>
        </w:tc>
        <w:tc>
          <w:tcPr>
            <w:tcW w:w="4529" w:type="dxa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595959"/>
                <w:kern w:val="0"/>
                <w:sz w:val="24"/>
                <w:szCs w:val="24"/>
                <w:lang w:bidi="ar"/>
              </w:rPr>
              <w:t>日本松下2020-2030美好生活馆、东京都济生会中央医院、日本轻井泽文旅小镇、日本东京迪士尼主题乐园、日本星野集团、日本无印良品、日本母亲牧场、日本濑户内大地艺术祭、日本mokumoku、日本my farm、日本茑屋、法国薇姿小镇、荷兰Nievw Overbos养老住宅........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五、师资计划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【产业领袖 实操大咖 权威专家 国学大师】（排名不分先后）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王  平  中国房地产业资深专家，产融学院院长、产融联主席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刘  琳  国家发改委房地产政策研究中心主任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冯  仑  万通集团创始人、御风集团董事长，被誉为地产界的思想家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仇保兴  国务院参事室参事，原住房和城乡建设部副部长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秦  虹  中国人民大学国家发展与战略研究院研究员，住建部政策研究中心原主任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徐洪才</w:t>
      </w:r>
      <w:r>
        <w:rPr>
          <w:rFonts w:ascii="宋体" w:hAnsi="宋体" w:eastAsia="宋体" w:cs="宋体"/>
        </w:rPr>
        <w:t xml:space="preserve">  中国政策科学研究会经济政策委员会副主任，财经头条首席经济学家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刘洪玉  清华大学房地产研究所所长、博导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朱少平  中国</w:t>
      </w:r>
      <w:r>
        <w:rPr>
          <w:rFonts w:hint="eastAsia"/>
        </w:rPr>
        <w:t>著名立法专家与经济学家、原全国人大财政金融委员会法案室主任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秦佑国  清华大学建筑学院院长、教授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宋志平  中国上市公司协会会长，中国建材集团原党委书记、董事长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孟晓苏  中房集团原董事长、汇力基金董事长，中国企业家联合会执行副会长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聂梅生  全国工商联房地产商会创始会长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李晓东  著名房地产投融资专家，北大房地产金融研究中心理事长、博士后导师 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刘东卫  中国建筑标准设计研究院总建筑师，住建部建筑设计标准委主任委员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朱武祥  清华大学经济管理学院金融系副主任、教授，商业模式研究工作室主任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李  季  中国文化产业园区联盟会长，清华大学文创产业研究中心主任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庄惟敏  清大建筑设计院院长，总建筑师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鲁炳全  清华大学特邀教授，中国商业地产理论与操盘的大师级专家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陈少峰  北京大学博士生导师，北大文化产业研究院副院长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陈  晟  中国房地产数据研究院执行院长，复旦房地产研究中心企业研究所所长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毛大庆  优客工场创始人，鸿坤集团高级合伙人，万科集团外部合伙人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卢致新  北大管理心理学博士、法鼓文理学院访问学者，“禅+体验式”创始人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蒋春燕  中国绩效管理资深实战专家，“中国绩效实战落地第一人”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高  志  加拿大宝佳国际建筑师有限公司驻华首席代表，清华北大兼职教授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程振清  北大、清华、海大等高校特邀教授，易经大师、地产风水实操专家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曾宪斌  著名房地产营销专家，清大资深房地产总裁班教授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姜新国  中国商业地产理论主要奠基人、著名商业地产专家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肖  勇  中国特色小镇产业联盟、中国房地产主流媒体联盟秘书长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付开虎  觉悟明德书院院长，中华传统文化产业发展中心副主任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申  威  地金联盟主席，黄金湾投资集团董事长，中实国开资产管理董事长  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陈方勇  原高和资本副总裁，佰仕会创始人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李鹏伟  四川蓝光文旅地产总裁、国内文旅地产运营专家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赵常乐  中国孙子兵法研究院秘书长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郭井立  资深房地产策划运营专家、中国房地产策划联盟副主席兼秘书长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任泽平  恒大集团首席经济学家、恒大经济研究院院长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杨翠红  中国区域科学协会副主任委员，中国投入产出学会副理事长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高晓伟  易居中国合伙人、克而瑞战略顾问中心总经理，产业地产资深专家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韩  靖  世联行华北顾问事业部总经理，产城运营咨询实战专家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 xml:space="preserve">刘俊青  </w:t>
      </w:r>
      <w:r>
        <w:rPr>
          <w:rFonts w:hint="eastAsia"/>
        </w:rPr>
        <w:t>地产融资专家，融创集团北京区域青岛公司融资负责人</w:t>
      </w:r>
    </w:p>
    <w:p>
      <w:pPr>
        <w:pStyle w:val="4"/>
        <w:widowControl/>
        <w:spacing w:beforeLines="50" w:afterLines="50"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........................</w:t>
      </w:r>
    </w:p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六、研修模式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</w:t>
      </w:r>
    </w:p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color w:val="7F7F7F"/>
          <w:sz w:val="32"/>
          <w:szCs w:val="32"/>
        </w:rPr>
        <w:t>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平台模式：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①“研修班”+“产融联”+...打造属于自己事业赋能平台；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②“线下+线上”，线下专业大课+线上数字课堂，365持续学习。</w:t>
      </w:r>
    </w:p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7F7F7F"/>
          <w:sz w:val="32"/>
          <w:szCs w:val="32"/>
        </w:rPr>
        <w:t>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教学模式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①2+1学制：两年学习、一生复训，铸就一生同学情；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②复式研学制：正课+数字课堂+游学+参访+私董会+论坛，复式研学，全面成长；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③导师制：可选择专属导师，日常深度对接指导。</w:t>
      </w:r>
    </w:p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7F7F7F"/>
          <w:sz w:val="32"/>
          <w:szCs w:val="32"/>
        </w:rPr>
        <w:t>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优选模式：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①推荐制：权威推荐入学，确保学员品质；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②限额制：限区域、限行业、限名额，确保学员产业精准匹配。</w:t>
      </w:r>
    </w:p>
    <w:p>
      <w:pPr>
        <w:pStyle w:val="4"/>
        <w:widowControl/>
        <w:spacing w:before="156" w:beforeLines="50" w:after="156" w:afterLines="50" w:line="4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七、招生对象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产业、地产行业及全链企业董事长、总裁（总经理）、百强地产公司区域总经理、城市总经理等经营负责人。</w:t>
      </w:r>
    </w:p>
    <w:p>
      <w:pPr>
        <w:spacing w:before="156" w:beforeLines="50" w:after="156" w:afterLines="50" w:line="4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八、申请流程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1、填报资料：填写报名申请表一份并提交学历/学位证书复印件、身份证复印件、证件照（电子版）。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2、资格审核：招生办针对申请人的报名材料进行综合评审，确定录取资格。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3、录取通知：根据要求完成报名手续后，最终以电话或书面通知，确认学员身份。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4、交纳学费：产业领袖班7.8万元/人，包含学费、讲义费、结业证书费（中国海洋大学），不包含学习及游学期间的食宿交通费等。</w:t>
      </w:r>
    </w:p>
    <w:p>
      <w:pPr>
        <w:spacing w:before="156" w:beforeLines="50" w:after="156" w:afterLines="50" w:line="4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九、报名服务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中国海洋大学管理学院EDP中心地产教学项目部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地址：中国海洋大学浮山校区教学楼D区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指定账户：青岛产融联科技有限公司（发票开具单位）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账 号：12057000000667248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开户行：华夏银行股份有限公司青岛麦岛路支行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电话：0532-85900256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br w:type="textWrapping"/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大标宋简体" w:hAnsi="宋体" w:eastAsia="方正大标宋简体" w:cs="宋体"/>
          <w:bCs/>
          <w:sz w:val="36"/>
          <w:szCs w:val="36"/>
          <w:lang w:eastAsia="zh-Hans"/>
        </w:rPr>
      </w:pPr>
      <w:r>
        <w:rPr>
          <w:rFonts w:hint="eastAsia" w:ascii="方正大标宋简体" w:hAnsi="宋体" w:eastAsia="方正大标宋简体" w:cs="宋体"/>
          <w:bCs/>
          <w:sz w:val="36"/>
          <w:szCs w:val="36"/>
          <w:lang w:eastAsia="zh-Hans"/>
        </w:rPr>
        <w:t>“学习强企”新地产EMBA课程总裁班申请表</w:t>
      </w:r>
    </w:p>
    <w:p>
      <w:pPr>
        <w:spacing w:line="360" w:lineRule="exact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班级：                 </w:t>
      </w:r>
      <w:r>
        <w:rPr>
          <w:rFonts w:ascii="微软雅黑" w:hAnsi="微软雅黑" w:eastAsia="微软雅黑" w:cs="微软雅黑"/>
          <w:kern w:val="0"/>
          <w:szCs w:val="21"/>
        </w:rPr>
        <w:t xml:space="preserve">                              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报名时间：     年    月    日       </w:t>
      </w:r>
      <w:r>
        <w:rPr>
          <w:rFonts w:ascii="微软雅黑" w:hAnsi="微软雅黑" w:eastAsia="微软雅黑" w:cs="微软雅黑"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   </w:t>
      </w:r>
      <w:r>
        <w:rPr>
          <w:rFonts w:ascii="微软雅黑" w:hAnsi="微软雅黑" w:eastAsia="微软雅黑" w:cs="微软雅黑"/>
          <w:kern w:val="0"/>
          <w:szCs w:val="21"/>
        </w:rPr>
        <w:t xml:space="preserve">       </w:t>
      </w:r>
    </w:p>
    <w:tbl>
      <w:tblPr>
        <w:tblStyle w:val="5"/>
        <w:tblpPr w:leftFromText="180" w:rightFromText="180" w:vertAnchor="text" w:horzAnchor="page" w:tblpX="1072" w:tblpY="82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15"/>
        <w:gridCol w:w="336"/>
        <w:gridCol w:w="436"/>
        <w:gridCol w:w="672"/>
        <w:gridCol w:w="398"/>
        <w:gridCol w:w="416"/>
        <w:gridCol w:w="574"/>
        <w:gridCol w:w="67"/>
        <w:gridCol w:w="527"/>
        <w:gridCol w:w="415"/>
        <w:gridCol w:w="705"/>
        <w:gridCol w:w="726"/>
        <w:gridCol w:w="624"/>
        <w:gridCol w:w="406"/>
        <w:gridCol w:w="648"/>
        <w:gridCol w:w="9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220" w:lineRule="atLeast"/>
              <w:ind w:firstLine="735" w:firstLineChars="3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</w:t>
            </w:r>
          </w:p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片</w:t>
            </w:r>
          </w:p>
          <w:p>
            <w:pPr>
              <w:spacing w:line="220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 贯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工作年限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微 信</w:t>
            </w:r>
          </w:p>
        </w:tc>
        <w:tc>
          <w:tcPr>
            <w:tcW w:w="22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</w:t>
            </w:r>
          </w:p>
        </w:tc>
        <w:tc>
          <w:tcPr>
            <w:tcW w:w="3203" w:type="dxa"/>
            <w:gridSpan w:val="6"/>
            <w:vAlign w:val="center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bottom w:val="nil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33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助理联系人</w:t>
            </w:r>
          </w:p>
        </w:tc>
        <w:tc>
          <w:tcPr>
            <w:tcW w:w="1922" w:type="dxa"/>
            <w:gridSpan w:val="4"/>
            <w:tcBorders>
              <w:top w:val="nil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3203" w:type="dxa"/>
            <w:gridSpan w:val="6"/>
            <w:vAlign w:val="center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97" w:type="dxa"/>
            <w:tcBorders>
              <w:top w:val="nil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3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通讯地址</w:t>
            </w:r>
          </w:p>
        </w:tc>
        <w:tc>
          <w:tcPr>
            <w:tcW w:w="8605" w:type="dxa"/>
            <w:gridSpan w:val="15"/>
            <w:vAlign w:val="center"/>
          </w:tcPr>
          <w:p>
            <w:pPr>
              <w:spacing w:line="22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教育背景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学校或教育机构名称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毕业时间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专业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学位/证书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57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工作背景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工作单位</w:t>
            </w:r>
          </w:p>
        </w:tc>
        <w:tc>
          <w:tcPr>
            <w:tcW w:w="5124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座机</w:t>
            </w:r>
          </w:p>
        </w:tc>
        <w:tc>
          <w:tcPr>
            <w:tcW w:w="2654" w:type="dxa"/>
            <w:gridSpan w:val="6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行业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人数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职责</w:t>
            </w:r>
          </w:p>
        </w:tc>
        <w:tc>
          <w:tcPr>
            <w:tcW w:w="8169" w:type="dxa"/>
            <w:gridSpan w:val="14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456" w:type="dxa"/>
            <w:gridSpan w:val="17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公司经营项目或主营产品：</w:t>
            </w:r>
          </w:p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主要任职社会机构</w:t>
            </w:r>
          </w:p>
        </w:tc>
        <w:tc>
          <w:tcPr>
            <w:tcW w:w="4858" w:type="dxa"/>
            <w:gridSpan w:val="10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3257" w:type="dxa"/>
            <w:gridSpan w:val="7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学员签字：</w:t>
            </w:r>
          </w:p>
          <w:p>
            <w:pPr>
              <w:ind w:firstLine="1680" w:firstLineChars="8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月   日</w:t>
            </w:r>
          </w:p>
        </w:tc>
        <w:tc>
          <w:tcPr>
            <w:tcW w:w="3014" w:type="dxa"/>
            <w:gridSpan w:val="6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推荐人签字：</w:t>
            </w:r>
          </w:p>
          <w:p>
            <w:pPr>
              <w:ind w:firstLine="1470" w:firstLineChars="7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月  日</w:t>
            </w:r>
          </w:p>
        </w:tc>
        <w:tc>
          <w:tcPr>
            <w:tcW w:w="3669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推荐单位（盖章）：</w:t>
            </w:r>
          </w:p>
          <w:p>
            <w:pPr>
              <w:ind w:firstLine="1470" w:firstLineChars="7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月   日</w:t>
            </w:r>
          </w:p>
        </w:tc>
      </w:tr>
    </w:tbl>
    <w:p>
      <w:pPr>
        <w:spacing w:line="300" w:lineRule="exact"/>
      </w:pPr>
      <w:r>
        <w:rPr>
          <w:rFonts w:hint="eastAsia" w:ascii="仿宋_GB2312" w:hAnsi="仿宋_GB2312" w:eastAsia="仿宋_GB2312" w:cs="仿宋_GB2312"/>
          <w:sz w:val="22"/>
        </w:rPr>
        <w:t>注：①此表作为学员报名正式文件，复印或传真均有效，请务必详细填写上述信息；②因班级为限额制入学，确认缴费学习后，因个人原因不能继续学习的，学费不予退还；③学员本人确保以上信息的真实性，如有虚假，责任由本人承担；④联系方式：0532-85900256</w:t>
      </w:r>
    </w:p>
    <w:sectPr>
      <w:footerReference r:id="rId3" w:type="default"/>
      <w:pgSz w:w="11906" w:h="16838"/>
      <w:pgMar w:top="1440" w:right="1542" w:bottom="1440" w:left="154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87226"/>
    <w:rsid w:val="0011315D"/>
    <w:rsid w:val="00132E13"/>
    <w:rsid w:val="001E59B2"/>
    <w:rsid w:val="00216A4F"/>
    <w:rsid w:val="0028052A"/>
    <w:rsid w:val="003410E3"/>
    <w:rsid w:val="004B0A72"/>
    <w:rsid w:val="004E612B"/>
    <w:rsid w:val="005407CE"/>
    <w:rsid w:val="005C7CF9"/>
    <w:rsid w:val="0063093C"/>
    <w:rsid w:val="006B117A"/>
    <w:rsid w:val="006E6D1B"/>
    <w:rsid w:val="007367C7"/>
    <w:rsid w:val="007C344A"/>
    <w:rsid w:val="008924B1"/>
    <w:rsid w:val="009634BE"/>
    <w:rsid w:val="00A31C1C"/>
    <w:rsid w:val="00A761F3"/>
    <w:rsid w:val="00B2715C"/>
    <w:rsid w:val="00B31A2C"/>
    <w:rsid w:val="00B86A72"/>
    <w:rsid w:val="00BF3373"/>
    <w:rsid w:val="00C3469A"/>
    <w:rsid w:val="00C53C86"/>
    <w:rsid w:val="00CD3A03"/>
    <w:rsid w:val="00D74CC6"/>
    <w:rsid w:val="00E45F72"/>
    <w:rsid w:val="00F65694"/>
    <w:rsid w:val="0A922A69"/>
    <w:rsid w:val="1EFA6146"/>
    <w:rsid w:val="2EFF8A65"/>
    <w:rsid w:val="3B290A39"/>
    <w:rsid w:val="442D2615"/>
    <w:rsid w:val="59C07F64"/>
    <w:rsid w:val="60465DA1"/>
    <w:rsid w:val="64E76F98"/>
    <w:rsid w:val="69F76F64"/>
    <w:rsid w:val="6AA1187D"/>
    <w:rsid w:val="6EC80C48"/>
    <w:rsid w:val="6F08663C"/>
    <w:rsid w:val="6F287226"/>
    <w:rsid w:val="79B54C87"/>
    <w:rsid w:val="7A9B7819"/>
    <w:rsid w:val="7F5B312E"/>
    <w:rsid w:val="7F9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5631</Words>
  <Characters>5855</Characters>
  <Lines>46</Lines>
  <Paragraphs>13</Paragraphs>
  <TotalTime>142</TotalTime>
  <ScaleCrop>false</ScaleCrop>
  <LinksUpToDate>false</LinksUpToDate>
  <CharactersWithSpaces>6140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2021-03-31T14:09:00Z</dcterms:created>
  <dc:creator>Lucy1408911058</dc:creator>
  <cp:lastModifiedBy>晓曦晨辉</cp:lastModifiedBy>
  <dcterms:modified xsi:type="dcterms:W3CDTF">2021-04-01T08:03:45Z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C9418E71E421460689372D49C5D8CD20</vt:lpwstr>
  </property>
  <property fmtid="{D5CDD505-2E9C-101B-9397-08002B2CF9AE}" pid="4" name="KSOSaveFontToCloudKey">
    <vt:lpwstr>318514430_btnclosed</vt:lpwstr>
  </property>
</Properties>
</file>